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3CC1" w14:textId="0E7C2FCA" w:rsidR="007F6891" w:rsidRDefault="007F6891" w:rsidP="00BE5737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F207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F2079">
        <w:rPr>
          <w:rFonts w:ascii="Arial" w:hAnsi="Arial" w:cs="Arial"/>
          <w:bCs/>
          <w:i/>
          <w:spacing w:val="-3"/>
          <w:sz w:val="22"/>
          <w:szCs w:val="22"/>
        </w:rPr>
        <w:t>Justice Legislation (COVID-19 Emergency Response—Permanency) Amendment Bill 2021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Bill) </w:t>
      </w:r>
      <w:r w:rsidRPr="00DF2079">
        <w:rPr>
          <w:rFonts w:ascii="Arial" w:hAnsi="Arial" w:cs="Arial"/>
          <w:bCs/>
          <w:spacing w:val="-3"/>
          <w:sz w:val="22"/>
          <w:szCs w:val="22"/>
        </w:rPr>
        <w:t>permanently implements certain aspects of temporary laws that were made in the Justice portfolio in resp</w:t>
      </w:r>
      <w:r>
        <w:rPr>
          <w:rFonts w:ascii="Arial" w:hAnsi="Arial" w:cs="Arial"/>
          <w:bCs/>
          <w:spacing w:val="-3"/>
          <w:sz w:val="22"/>
          <w:szCs w:val="22"/>
        </w:rPr>
        <w:t>onse to the COVID-19 emergency.</w:t>
      </w:r>
    </w:p>
    <w:p w14:paraId="7EAA60DC" w14:textId="03D3DAFD" w:rsidR="00F75BB0" w:rsidRDefault="00F75BB0" w:rsidP="00BE5737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amends the following pieces of legislation:</w:t>
      </w:r>
    </w:p>
    <w:p w14:paraId="5A2908D9" w14:textId="09E357C4" w:rsidR="00F75BB0" w:rsidRDefault="00C04B21" w:rsidP="00BE573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30ED">
        <w:rPr>
          <w:rFonts w:ascii="Arial" w:hAnsi="Arial" w:cs="Arial"/>
          <w:sz w:val="22"/>
          <w:szCs w:val="22"/>
        </w:rPr>
        <w:t xml:space="preserve">the </w:t>
      </w:r>
      <w:r w:rsidRPr="00E330ED">
        <w:rPr>
          <w:rFonts w:ascii="Arial" w:hAnsi="Arial" w:cs="Arial"/>
          <w:i/>
          <w:iCs/>
          <w:sz w:val="22"/>
          <w:szCs w:val="22"/>
        </w:rPr>
        <w:t>Oaths Act 1867</w:t>
      </w:r>
      <w:r w:rsidRPr="00E330ED">
        <w:rPr>
          <w:rFonts w:ascii="Arial" w:hAnsi="Arial" w:cs="Arial"/>
          <w:sz w:val="22"/>
          <w:szCs w:val="22"/>
        </w:rPr>
        <w:t xml:space="preserve"> to 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 xml:space="preserve">allow </w:t>
      </w:r>
      <w:r w:rsidR="00F75BB0">
        <w:rPr>
          <w:rFonts w:ascii="Arial" w:hAnsi="Arial" w:cs="Arial"/>
          <w:bCs/>
          <w:spacing w:val="-3"/>
          <w:sz w:val="22"/>
          <w:szCs w:val="22"/>
        </w:rPr>
        <w:t xml:space="preserve">affidavits and statutory declarations </w:t>
      </w:r>
      <w:r w:rsidR="00554A85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>be signed electronically and witnessed over audio visua</w:t>
      </w:r>
      <w:r w:rsidR="00F75BB0">
        <w:rPr>
          <w:rFonts w:ascii="Arial" w:hAnsi="Arial" w:cs="Arial"/>
          <w:bCs/>
          <w:spacing w:val="-3"/>
          <w:sz w:val="22"/>
          <w:szCs w:val="22"/>
        </w:rPr>
        <w:t xml:space="preserve">l link in certain circumstances, and to allow oaths to </w:t>
      </w:r>
      <w:r w:rsidR="009D6871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="00F75BB0">
        <w:rPr>
          <w:rFonts w:ascii="Arial" w:hAnsi="Arial" w:cs="Arial"/>
          <w:bCs/>
          <w:spacing w:val="-3"/>
          <w:sz w:val="22"/>
          <w:szCs w:val="22"/>
        </w:rPr>
        <w:t>administered over audio visual link;</w:t>
      </w:r>
    </w:p>
    <w:p w14:paraId="6DF448D5" w14:textId="71AAA9EE" w:rsidR="00C04B21" w:rsidRPr="00424348" w:rsidRDefault="00C04B21" w:rsidP="00BE573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BB0">
        <w:rPr>
          <w:rFonts w:ascii="Arial" w:hAnsi="Arial" w:cs="Arial"/>
          <w:sz w:val="22"/>
          <w:szCs w:val="22"/>
        </w:rPr>
        <w:t xml:space="preserve">the </w:t>
      </w:r>
      <w:r w:rsidRPr="00F75BB0">
        <w:rPr>
          <w:rFonts w:ascii="Arial" w:hAnsi="Arial" w:cs="Arial"/>
          <w:i/>
          <w:iCs/>
          <w:sz w:val="22"/>
          <w:szCs w:val="22"/>
        </w:rPr>
        <w:t>Powers of Attorney Act 1998</w:t>
      </w:r>
      <w:r w:rsidRPr="00F75BB0">
        <w:rPr>
          <w:rFonts w:ascii="Arial" w:hAnsi="Arial" w:cs="Arial"/>
          <w:sz w:val="22"/>
          <w:szCs w:val="22"/>
        </w:rPr>
        <w:t xml:space="preserve"> to </w:t>
      </w:r>
      <w:r w:rsidR="00F75BB0">
        <w:rPr>
          <w:rFonts w:ascii="Arial" w:hAnsi="Arial" w:cs="Arial"/>
          <w:sz w:val="22"/>
          <w:szCs w:val="22"/>
        </w:rPr>
        <w:t xml:space="preserve">allow </w:t>
      </w:r>
      <w:r w:rsidRPr="00F75BB0">
        <w:rPr>
          <w:rFonts w:ascii="Arial" w:hAnsi="Arial" w:cs="Arial"/>
          <w:sz w:val="22"/>
          <w:szCs w:val="22"/>
        </w:rPr>
        <w:t xml:space="preserve">general powers of attorney for </w:t>
      </w:r>
      <w:r w:rsidR="00554A85">
        <w:rPr>
          <w:rFonts w:ascii="Arial" w:hAnsi="Arial" w:cs="Arial"/>
          <w:sz w:val="22"/>
          <w:szCs w:val="22"/>
        </w:rPr>
        <w:t xml:space="preserve">corporations, partnerships and unincorporated associations </w:t>
      </w:r>
      <w:r w:rsidR="00F75BB0">
        <w:rPr>
          <w:rFonts w:ascii="Arial" w:hAnsi="Arial" w:cs="Arial"/>
          <w:sz w:val="22"/>
          <w:szCs w:val="22"/>
        </w:rPr>
        <w:t>to be signed electronically</w:t>
      </w:r>
      <w:r w:rsidR="00554A85">
        <w:rPr>
          <w:rFonts w:ascii="Arial" w:hAnsi="Arial" w:cs="Arial"/>
          <w:sz w:val="22"/>
          <w:szCs w:val="22"/>
        </w:rPr>
        <w:t xml:space="preserve"> and without a witness,</w:t>
      </w:r>
      <w:r w:rsidR="00F75BB0">
        <w:rPr>
          <w:rFonts w:ascii="Arial" w:hAnsi="Arial" w:cs="Arial"/>
          <w:sz w:val="22"/>
          <w:szCs w:val="22"/>
        </w:rPr>
        <w:t xml:space="preserve"> and to allow 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>nurse practitioners</w:t>
      </w:r>
      <w:r w:rsidR="00424348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>in addition to doctors</w:t>
      </w:r>
      <w:r w:rsidR="00424348">
        <w:rPr>
          <w:rFonts w:ascii="Arial" w:hAnsi="Arial" w:cs="Arial"/>
          <w:bCs/>
          <w:spacing w:val="-3"/>
          <w:sz w:val="22"/>
          <w:szCs w:val="22"/>
        </w:rPr>
        <w:t>)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 xml:space="preserve"> to sign a cert</w:t>
      </w:r>
      <w:r w:rsidR="00F75BB0">
        <w:rPr>
          <w:rFonts w:ascii="Arial" w:hAnsi="Arial" w:cs="Arial"/>
          <w:bCs/>
          <w:spacing w:val="-3"/>
          <w:sz w:val="22"/>
          <w:szCs w:val="22"/>
        </w:rPr>
        <w:t>ificate which forms part of an a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>dvance</w:t>
      </w:r>
      <w:r w:rsidR="00F75BB0">
        <w:rPr>
          <w:rFonts w:ascii="Arial" w:hAnsi="Arial" w:cs="Arial"/>
          <w:bCs/>
          <w:spacing w:val="-3"/>
          <w:sz w:val="22"/>
          <w:szCs w:val="22"/>
        </w:rPr>
        <w:t xml:space="preserve"> health directive </w:t>
      </w:r>
      <w:r w:rsidR="00F75BB0" w:rsidRPr="00DF2079">
        <w:rPr>
          <w:rFonts w:ascii="Arial" w:hAnsi="Arial" w:cs="Arial"/>
          <w:bCs/>
          <w:spacing w:val="-3"/>
          <w:sz w:val="22"/>
          <w:szCs w:val="22"/>
        </w:rPr>
        <w:t>stating that the person making the document appears to hav</w:t>
      </w:r>
      <w:r w:rsidR="00424348">
        <w:rPr>
          <w:rFonts w:ascii="Arial" w:hAnsi="Arial" w:cs="Arial"/>
          <w:bCs/>
          <w:spacing w:val="-3"/>
          <w:sz w:val="22"/>
          <w:szCs w:val="22"/>
        </w:rPr>
        <w:t>e capacity to make the document;</w:t>
      </w:r>
    </w:p>
    <w:p w14:paraId="50797A61" w14:textId="48C73B2F" w:rsidR="00F75BB0" w:rsidRDefault="00C04B21" w:rsidP="00BE573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30ED">
        <w:rPr>
          <w:rFonts w:ascii="Arial" w:hAnsi="Arial" w:cs="Arial"/>
          <w:sz w:val="22"/>
          <w:szCs w:val="22"/>
        </w:rPr>
        <w:t xml:space="preserve">the </w:t>
      </w:r>
      <w:r w:rsidRPr="00E330ED">
        <w:rPr>
          <w:rFonts w:ascii="Arial" w:hAnsi="Arial" w:cs="Arial"/>
          <w:i/>
          <w:iCs/>
          <w:sz w:val="22"/>
          <w:szCs w:val="22"/>
        </w:rPr>
        <w:t>Property Law Act 1974</w:t>
      </w:r>
      <w:r w:rsidR="00424348">
        <w:rPr>
          <w:rFonts w:ascii="Arial" w:hAnsi="Arial" w:cs="Arial"/>
          <w:sz w:val="22"/>
          <w:szCs w:val="22"/>
        </w:rPr>
        <w:t xml:space="preserve"> to allow </w:t>
      </w:r>
      <w:r w:rsidR="00554A85">
        <w:rPr>
          <w:rFonts w:ascii="Arial" w:hAnsi="Arial" w:cs="Arial"/>
          <w:sz w:val="22"/>
          <w:szCs w:val="22"/>
        </w:rPr>
        <w:t xml:space="preserve">certain </w:t>
      </w:r>
      <w:r w:rsidR="00424348">
        <w:rPr>
          <w:rFonts w:ascii="Arial" w:hAnsi="Arial" w:cs="Arial"/>
          <w:sz w:val="22"/>
          <w:szCs w:val="22"/>
        </w:rPr>
        <w:t>deeds to be signed electronically</w:t>
      </w:r>
      <w:r w:rsidR="00554A85">
        <w:rPr>
          <w:rFonts w:ascii="Arial" w:hAnsi="Arial" w:cs="Arial"/>
          <w:sz w:val="22"/>
          <w:szCs w:val="22"/>
        </w:rPr>
        <w:t xml:space="preserve"> and without a witness and to remove outdated requirements for the execution of deeds</w:t>
      </w:r>
      <w:r w:rsidR="00424348">
        <w:rPr>
          <w:rFonts w:ascii="Arial" w:hAnsi="Arial" w:cs="Arial"/>
          <w:sz w:val="22"/>
          <w:szCs w:val="22"/>
        </w:rPr>
        <w:t>;</w:t>
      </w:r>
    </w:p>
    <w:p w14:paraId="7AB467FD" w14:textId="3EFD80FF" w:rsidR="00394436" w:rsidRDefault="00F75BB0" w:rsidP="00BE573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30ED">
        <w:rPr>
          <w:rFonts w:ascii="Arial" w:hAnsi="Arial" w:cs="Arial"/>
          <w:sz w:val="22"/>
          <w:szCs w:val="22"/>
        </w:rPr>
        <w:t xml:space="preserve">the </w:t>
      </w:r>
      <w:r w:rsidRPr="00E330ED">
        <w:rPr>
          <w:rFonts w:ascii="Arial" w:hAnsi="Arial" w:cs="Arial"/>
          <w:i/>
          <w:iCs/>
          <w:sz w:val="22"/>
          <w:szCs w:val="22"/>
        </w:rPr>
        <w:t>Domestic and Family Violence Protection Act 2012</w:t>
      </w:r>
      <w:r w:rsidRPr="00E330ED">
        <w:rPr>
          <w:rFonts w:ascii="Arial" w:hAnsi="Arial" w:cs="Arial"/>
          <w:sz w:val="22"/>
          <w:szCs w:val="22"/>
        </w:rPr>
        <w:t xml:space="preserve"> and the </w:t>
      </w:r>
      <w:r w:rsidRPr="00E330ED">
        <w:rPr>
          <w:rFonts w:ascii="Arial" w:hAnsi="Arial" w:cs="Arial"/>
          <w:i/>
          <w:iCs/>
          <w:sz w:val="22"/>
          <w:szCs w:val="22"/>
        </w:rPr>
        <w:t>Domestic and Family Violence Protection Rules 2014</w:t>
      </w:r>
      <w:r w:rsidR="00424348">
        <w:rPr>
          <w:rFonts w:ascii="Arial" w:hAnsi="Arial" w:cs="Arial"/>
          <w:iCs/>
          <w:sz w:val="22"/>
          <w:szCs w:val="22"/>
        </w:rPr>
        <w:t xml:space="preserve">, to </w:t>
      </w:r>
      <w:r w:rsidR="00424348" w:rsidRPr="00424348">
        <w:rPr>
          <w:rFonts w:ascii="Arial" w:hAnsi="Arial" w:cs="Arial"/>
          <w:bCs/>
          <w:spacing w:val="-3"/>
          <w:sz w:val="22"/>
          <w:szCs w:val="22"/>
        </w:rPr>
        <w:t xml:space="preserve">streamline and increase accessibility </w:t>
      </w:r>
      <w:r w:rsidR="00F7530B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424348">
        <w:rPr>
          <w:rFonts w:ascii="Arial" w:hAnsi="Arial" w:cs="Arial"/>
          <w:bCs/>
          <w:spacing w:val="-3"/>
          <w:sz w:val="22"/>
          <w:szCs w:val="22"/>
        </w:rPr>
        <w:t xml:space="preserve">domestic and family violence (DFV) </w:t>
      </w:r>
      <w:r w:rsidR="00424348" w:rsidRPr="00424348">
        <w:rPr>
          <w:rFonts w:ascii="Arial" w:hAnsi="Arial" w:cs="Arial"/>
          <w:bCs/>
          <w:spacing w:val="-3"/>
          <w:sz w:val="22"/>
          <w:szCs w:val="22"/>
        </w:rPr>
        <w:t xml:space="preserve">proceedings by introducing alternative verification arrangements for private applications for protection orders and variations of domestic violence orders in </w:t>
      </w:r>
      <w:r w:rsidR="002A096E">
        <w:rPr>
          <w:rFonts w:ascii="Arial" w:hAnsi="Arial" w:cs="Arial"/>
          <w:bCs/>
          <w:spacing w:val="-3"/>
          <w:sz w:val="22"/>
          <w:szCs w:val="22"/>
        </w:rPr>
        <w:t>urgent situations</w:t>
      </w:r>
      <w:r w:rsidR="0042434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24348" w:rsidRPr="00424348">
        <w:rPr>
          <w:rFonts w:ascii="Arial" w:hAnsi="Arial" w:cs="Arial"/>
          <w:bCs/>
          <w:spacing w:val="-3"/>
          <w:sz w:val="22"/>
          <w:szCs w:val="22"/>
        </w:rPr>
        <w:t>allowing</w:t>
      </w:r>
      <w:r w:rsidR="00424348">
        <w:rPr>
          <w:rFonts w:ascii="Arial" w:hAnsi="Arial" w:cs="Arial"/>
          <w:bCs/>
          <w:spacing w:val="-3"/>
          <w:sz w:val="22"/>
          <w:szCs w:val="22"/>
        </w:rPr>
        <w:t xml:space="preserve"> DFV</w:t>
      </w:r>
      <w:r w:rsidR="00424348" w:rsidRPr="00424348">
        <w:rPr>
          <w:rFonts w:ascii="Arial" w:hAnsi="Arial" w:cs="Arial"/>
          <w:bCs/>
          <w:spacing w:val="-3"/>
          <w:sz w:val="22"/>
          <w:szCs w:val="22"/>
        </w:rPr>
        <w:t xml:space="preserve"> proceedings to be conducted by audio visual link or audio link</w:t>
      </w:r>
      <w:r w:rsidR="002A096E">
        <w:rPr>
          <w:rFonts w:ascii="Arial" w:hAnsi="Arial" w:cs="Arial"/>
          <w:bCs/>
          <w:spacing w:val="-3"/>
          <w:sz w:val="22"/>
          <w:szCs w:val="22"/>
        </w:rPr>
        <w:t xml:space="preserve"> at the court’s discretion</w:t>
      </w:r>
      <w:r w:rsidR="00424348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24348" w:rsidRPr="00424348">
        <w:rPr>
          <w:rFonts w:ascii="Arial" w:hAnsi="Arial" w:cs="Arial"/>
          <w:bCs/>
          <w:spacing w:val="-3"/>
          <w:sz w:val="22"/>
          <w:szCs w:val="22"/>
        </w:rPr>
        <w:t>and allowing electronic filing</w:t>
      </w:r>
      <w:r w:rsidR="002A096E">
        <w:rPr>
          <w:rFonts w:ascii="Arial" w:hAnsi="Arial" w:cs="Arial"/>
          <w:bCs/>
          <w:spacing w:val="-3"/>
          <w:sz w:val="22"/>
          <w:szCs w:val="22"/>
        </w:rPr>
        <w:t>, where approved by the Principal Registrar;</w:t>
      </w:r>
    </w:p>
    <w:p w14:paraId="4F54AC2D" w14:textId="78D8FD8D" w:rsidR="00394436" w:rsidRPr="00394436" w:rsidRDefault="00394436" w:rsidP="00BE5737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94436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17FE7">
        <w:rPr>
          <w:rFonts w:ascii="Arial" w:hAnsi="Arial" w:cs="Arial"/>
          <w:i/>
          <w:spacing w:val="-3"/>
          <w:sz w:val="22"/>
          <w:szCs w:val="22"/>
        </w:rPr>
        <w:t>Liquor Act 1992</w:t>
      </w:r>
      <w:r w:rsidRPr="00394436">
        <w:rPr>
          <w:rFonts w:ascii="Arial" w:hAnsi="Arial" w:cs="Arial"/>
          <w:spacing w:val="-3"/>
          <w:sz w:val="22"/>
          <w:szCs w:val="22"/>
        </w:rPr>
        <w:t xml:space="preserve"> to provide for licensees of a subsidiary on-premises licence (meals) (i.e. licensed restaurants) to apply for a permanent licence condition authorising the sale of 1.5 litres of wine (i.e. two bottles) with a takeaway meal. Licensees will need to establish adequate systems to ensure the responsible service and delivery of takeaway liquor. The application fee for the licence condition will be waived until 1 July 2022 for restaurant licensees eligible for COVID-19 temporary takeaway liquor authorities prior to the commencement of the new provisions. </w:t>
      </w:r>
    </w:p>
    <w:p w14:paraId="124469B6" w14:textId="1694DD81" w:rsidR="00F75BB0" w:rsidRPr="00F75BB0" w:rsidRDefault="00F75BB0" w:rsidP="00BE5737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F6891">
        <w:rPr>
          <w:rFonts w:ascii="Arial" w:hAnsi="Arial" w:cs="Arial"/>
          <w:bCs/>
          <w:spacing w:val="-3"/>
          <w:sz w:val="22"/>
          <w:szCs w:val="22"/>
        </w:rPr>
        <w:t xml:space="preserve">The Bill also extends the expiry of the </w:t>
      </w:r>
      <w:r w:rsidRPr="007F6891">
        <w:rPr>
          <w:rFonts w:ascii="Arial" w:hAnsi="Arial" w:cs="Arial"/>
          <w:bCs/>
          <w:i/>
          <w:spacing w:val="-3"/>
          <w:sz w:val="22"/>
          <w:szCs w:val="22"/>
        </w:rPr>
        <w:t>Retail Shop and Other Commercial Leases (COVID-19 Emergency Response) Regulation 2020</w:t>
      </w:r>
      <w:r w:rsidRPr="007F6891">
        <w:rPr>
          <w:rFonts w:ascii="Arial" w:hAnsi="Arial" w:cs="Arial"/>
          <w:bCs/>
          <w:spacing w:val="-3"/>
          <w:sz w:val="22"/>
          <w:szCs w:val="22"/>
        </w:rPr>
        <w:t xml:space="preserve"> and makes other minor and miscellaneous amendments to support the reforms outlined above.</w:t>
      </w:r>
    </w:p>
    <w:p w14:paraId="2524765C" w14:textId="05A8AC0A" w:rsidR="007F6891" w:rsidRDefault="00C04B21" w:rsidP="00BE5737">
      <w:pPr>
        <w:pStyle w:val="ListParagraph"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330ED">
        <w:rPr>
          <w:rFonts w:ascii="Arial" w:hAnsi="Arial" w:cs="Arial"/>
          <w:sz w:val="22"/>
          <w:szCs w:val="22"/>
          <w:u w:val="single"/>
        </w:rPr>
        <w:t>Cabinet approved</w:t>
      </w:r>
      <w:r w:rsidRPr="00E330ED">
        <w:rPr>
          <w:rFonts w:ascii="Arial" w:hAnsi="Arial" w:cs="Arial"/>
          <w:sz w:val="22"/>
          <w:szCs w:val="22"/>
        </w:rPr>
        <w:t xml:space="preserve"> </w:t>
      </w:r>
      <w:r w:rsidRPr="00F75BB0">
        <w:rPr>
          <w:rFonts w:ascii="Arial" w:hAnsi="Arial" w:cs="Arial"/>
          <w:sz w:val="22"/>
          <w:szCs w:val="22"/>
        </w:rPr>
        <w:t>the</w:t>
      </w:r>
      <w:r w:rsidRPr="00E330ED">
        <w:rPr>
          <w:rFonts w:ascii="Arial" w:hAnsi="Arial" w:cs="Arial"/>
          <w:sz w:val="22"/>
          <w:szCs w:val="22"/>
        </w:rPr>
        <w:t xml:space="preserve"> introduction of the Justice Legislation</w:t>
      </w:r>
      <w:r w:rsidR="00F75BB0">
        <w:rPr>
          <w:rFonts w:ascii="Arial" w:hAnsi="Arial" w:cs="Arial"/>
          <w:sz w:val="22"/>
          <w:szCs w:val="22"/>
        </w:rPr>
        <w:t xml:space="preserve"> (COVID-19 Emergency Response—</w:t>
      </w:r>
      <w:r w:rsidRPr="00E330ED">
        <w:rPr>
          <w:rFonts w:ascii="Arial" w:hAnsi="Arial" w:cs="Arial"/>
          <w:sz w:val="22"/>
          <w:szCs w:val="22"/>
        </w:rPr>
        <w:t>Permanency) Amendment Bill 2021</w:t>
      </w:r>
      <w:r w:rsidR="00CD3F65">
        <w:rPr>
          <w:rFonts w:ascii="Arial" w:hAnsi="Arial" w:cs="Arial"/>
          <w:sz w:val="22"/>
          <w:szCs w:val="22"/>
        </w:rPr>
        <w:t xml:space="preserve"> into the Legislative Assembly</w:t>
      </w:r>
      <w:r w:rsidR="00F75BB0">
        <w:rPr>
          <w:rFonts w:ascii="Arial" w:hAnsi="Arial" w:cs="Arial"/>
          <w:sz w:val="22"/>
          <w:szCs w:val="22"/>
        </w:rPr>
        <w:t>.</w:t>
      </w:r>
    </w:p>
    <w:p w14:paraId="5F85C72A" w14:textId="680253A9" w:rsidR="00C04B21" w:rsidRPr="002C788C" w:rsidRDefault="00C04B21" w:rsidP="00C05D3F">
      <w:pPr>
        <w:pStyle w:val="ListParagraph"/>
        <w:numPr>
          <w:ilvl w:val="0"/>
          <w:numId w:val="1"/>
        </w:numPr>
        <w:spacing w:before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BB0">
        <w:rPr>
          <w:rFonts w:ascii="Arial" w:hAnsi="Arial" w:cs="Arial"/>
          <w:i/>
          <w:sz w:val="22"/>
          <w:szCs w:val="22"/>
          <w:u w:val="single"/>
        </w:rPr>
        <w:t>Attachments</w:t>
      </w:r>
      <w:r w:rsidR="00F75BB0" w:rsidRPr="002C788C">
        <w:rPr>
          <w:rFonts w:ascii="Arial" w:hAnsi="Arial" w:cs="Arial"/>
          <w:i/>
          <w:sz w:val="22"/>
          <w:szCs w:val="22"/>
        </w:rPr>
        <w:t>:</w:t>
      </w:r>
    </w:p>
    <w:p w14:paraId="30B22118" w14:textId="2CBF474E" w:rsidR="00C04B21" w:rsidRDefault="00B75D52" w:rsidP="00C05D3F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04B21" w:rsidRPr="001A54AA">
          <w:rPr>
            <w:rStyle w:val="Hyperlink"/>
            <w:rFonts w:ascii="Arial" w:hAnsi="Arial" w:cs="Arial"/>
            <w:sz w:val="22"/>
            <w:szCs w:val="22"/>
          </w:rPr>
          <w:t>Justice Legislation (COVID-19 Emergency Response</w:t>
        </w:r>
        <w:r w:rsidR="00F75BB0" w:rsidRPr="001A54AA">
          <w:rPr>
            <w:rStyle w:val="Hyperlink"/>
            <w:rFonts w:ascii="Arial" w:hAnsi="Arial" w:cs="Arial"/>
            <w:sz w:val="22"/>
            <w:szCs w:val="22"/>
          </w:rPr>
          <w:t>—</w:t>
        </w:r>
        <w:r w:rsidR="00C04B21" w:rsidRPr="001A54AA">
          <w:rPr>
            <w:rStyle w:val="Hyperlink"/>
            <w:rFonts w:ascii="Arial" w:hAnsi="Arial" w:cs="Arial"/>
            <w:sz w:val="22"/>
            <w:szCs w:val="22"/>
          </w:rPr>
          <w:t>Permanency) Amendment Bill 2021</w:t>
        </w:r>
      </w:hyperlink>
    </w:p>
    <w:p w14:paraId="58618965" w14:textId="7764D0C8" w:rsidR="00CD3F65" w:rsidRDefault="00B75D52" w:rsidP="00C05D3F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D3F65" w:rsidRPr="001A54A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09AA5631" w14:textId="6A11EFBE" w:rsidR="00040390" w:rsidRPr="00040390" w:rsidRDefault="00B75D52" w:rsidP="00040390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CD3F65" w:rsidRPr="001A54AA">
          <w:rPr>
            <w:rStyle w:val="Hyperlink"/>
            <w:rFonts w:ascii="Arial" w:hAnsi="Arial" w:cs="Arial"/>
            <w:sz w:val="22"/>
            <w:szCs w:val="22"/>
          </w:rPr>
          <w:t>Statement of Com</w:t>
        </w:r>
        <w:r w:rsidR="00C05D3F" w:rsidRPr="001A54AA">
          <w:rPr>
            <w:rStyle w:val="Hyperlink"/>
            <w:rFonts w:ascii="Arial" w:hAnsi="Arial" w:cs="Arial"/>
            <w:sz w:val="22"/>
            <w:szCs w:val="22"/>
          </w:rPr>
          <w:t>p</w:t>
        </w:r>
        <w:r w:rsidR="00CD3F65" w:rsidRPr="001A54AA">
          <w:rPr>
            <w:rStyle w:val="Hyperlink"/>
            <w:rFonts w:ascii="Arial" w:hAnsi="Arial" w:cs="Arial"/>
            <w:sz w:val="22"/>
            <w:szCs w:val="22"/>
          </w:rPr>
          <w:t>atibility</w:t>
        </w:r>
      </w:hyperlink>
    </w:p>
    <w:sectPr w:rsidR="00040390" w:rsidRPr="00040390" w:rsidSect="00BE5737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1828" w14:textId="77777777" w:rsidR="006D335C" w:rsidRDefault="006D335C" w:rsidP="00D6589B">
      <w:r>
        <w:separator/>
      </w:r>
    </w:p>
  </w:endnote>
  <w:endnote w:type="continuationSeparator" w:id="0">
    <w:p w14:paraId="71B2F7B3" w14:textId="77777777" w:rsidR="006D335C" w:rsidRDefault="006D335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4F28" w14:textId="77777777" w:rsidR="006D335C" w:rsidRDefault="006D335C" w:rsidP="00D6589B">
      <w:r>
        <w:separator/>
      </w:r>
    </w:p>
  </w:footnote>
  <w:footnote w:type="continuationSeparator" w:id="0">
    <w:p w14:paraId="20680456" w14:textId="77777777" w:rsidR="006D335C" w:rsidRDefault="006D335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E97B" w14:textId="77777777" w:rsidR="009C2380" w:rsidRPr="00937A4A" w:rsidRDefault="009C2380" w:rsidP="009C238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94ED7F1" w14:textId="77777777" w:rsidR="009C2380" w:rsidRPr="00937A4A" w:rsidRDefault="009C2380" w:rsidP="009C238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0BF2499" w14:textId="5CC6071D" w:rsidR="009C2380" w:rsidRPr="00937A4A" w:rsidRDefault="009C2380" w:rsidP="009C238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86E43">
      <w:rPr>
        <w:rFonts w:ascii="Arial" w:hAnsi="Arial" w:cs="Arial"/>
        <w:b/>
        <w:color w:val="auto"/>
        <w:sz w:val="22"/>
        <w:szCs w:val="22"/>
        <w:lang w:eastAsia="en-US"/>
      </w:rPr>
      <w:t>September 2021</w:t>
    </w:r>
  </w:p>
  <w:p w14:paraId="7FEBD892" w14:textId="5BB9134B" w:rsidR="009C2380" w:rsidRDefault="00341CEE" w:rsidP="009C238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41CEE">
      <w:rPr>
        <w:rFonts w:ascii="Arial" w:hAnsi="Arial" w:cs="Arial"/>
        <w:b/>
        <w:sz w:val="22"/>
        <w:szCs w:val="22"/>
        <w:u w:val="single"/>
      </w:rPr>
      <w:t>Justice Legislation (COVID-19 Emergency Response — Permanency) Amendment Bill 2021</w:t>
    </w:r>
  </w:p>
  <w:p w14:paraId="15E054D3" w14:textId="259DA8D4" w:rsidR="009C2380" w:rsidRDefault="00280C0D" w:rsidP="00280C0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80C0D">
      <w:rPr>
        <w:rFonts w:ascii="Arial" w:hAnsi="Arial" w:cs="Arial"/>
        <w:b/>
        <w:sz w:val="22"/>
        <w:szCs w:val="22"/>
        <w:u w:val="single"/>
      </w:rPr>
      <w:t>Attorney-General and Minister for Justice, Minister for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280C0D">
      <w:rPr>
        <w:rFonts w:ascii="Arial" w:hAnsi="Arial" w:cs="Arial"/>
        <w:b/>
        <w:sz w:val="22"/>
        <w:szCs w:val="22"/>
        <w:u w:val="single"/>
      </w:rPr>
      <w:t>Women and Minister for the Prevention of Domestic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280C0D">
      <w:rPr>
        <w:rFonts w:ascii="Arial" w:hAnsi="Arial" w:cs="Arial"/>
        <w:b/>
        <w:sz w:val="22"/>
        <w:szCs w:val="22"/>
        <w:u w:val="single"/>
      </w:rPr>
      <w:t>Family Violence</w:t>
    </w:r>
  </w:p>
  <w:p w14:paraId="5A22D8D3" w14:textId="77777777" w:rsidR="009C2380" w:rsidRDefault="009C2380" w:rsidP="009C238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751"/>
    <w:multiLevelType w:val="hybridMultilevel"/>
    <w:tmpl w:val="1382DD8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01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363DFE"/>
    <w:multiLevelType w:val="hybridMultilevel"/>
    <w:tmpl w:val="F2B259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360A22"/>
    <w:multiLevelType w:val="hybridMultilevel"/>
    <w:tmpl w:val="FACE3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4EBA"/>
    <w:multiLevelType w:val="hybridMultilevel"/>
    <w:tmpl w:val="03C87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54E6C"/>
    <w:multiLevelType w:val="hybridMultilevel"/>
    <w:tmpl w:val="7212A1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8A382A1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40390"/>
    <w:rsid w:val="00080F8F"/>
    <w:rsid w:val="000D6D6C"/>
    <w:rsid w:val="0010384C"/>
    <w:rsid w:val="00174117"/>
    <w:rsid w:val="001944D3"/>
    <w:rsid w:val="001A54AA"/>
    <w:rsid w:val="00280C0D"/>
    <w:rsid w:val="002A096E"/>
    <w:rsid w:val="002B17B2"/>
    <w:rsid w:val="002C788C"/>
    <w:rsid w:val="00341CEE"/>
    <w:rsid w:val="00382395"/>
    <w:rsid w:val="00394436"/>
    <w:rsid w:val="003A3BDD"/>
    <w:rsid w:val="00424348"/>
    <w:rsid w:val="0046632F"/>
    <w:rsid w:val="00501C66"/>
    <w:rsid w:val="00550873"/>
    <w:rsid w:val="00554A85"/>
    <w:rsid w:val="006D0B9C"/>
    <w:rsid w:val="006D335C"/>
    <w:rsid w:val="007265D0"/>
    <w:rsid w:val="00732E22"/>
    <w:rsid w:val="00741C20"/>
    <w:rsid w:val="00760C78"/>
    <w:rsid w:val="007B73B8"/>
    <w:rsid w:val="007F44F4"/>
    <w:rsid w:val="007F6891"/>
    <w:rsid w:val="008B3102"/>
    <w:rsid w:val="00904077"/>
    <w:rsid w:val="009350B2"/>
    <w:rsid w:val="00937A4A"/>
    <w:rsid w:val="009C2380"/>
    <w:rsid w:val="009D6871"/>
    <w:rsid w:val="00AA4DE7"/>
    <w:rsid w:val="00B61953"/>
    <w:rsid w:val="00B75D52"/>
    <w:rsid w:val="00B86E43"/>
    <w:rsid w:val="00BE5737"/>
    <w:rsid w:val="00C04B21"/>
    <w:rsid w:val="00C05D3F"/>
    <w:rsid w:val="00C17FE7"/>
    <w:rsid w:val="00C75E67"/>
    <w:rsid w:val="00CB1501"/>
    <w:rsid w:val="00CD3F65"/>
    <w:rsid w:val="00CD7A50"/>
    <w:rsid w:val="00CF0D8A"/>
    <w:rsid w:val="00D6589B"/>
    <w:rsid w:val="00D761F3"/>
    <w:rsid w:val="00D92010"/>
    <w:rsid w:val="00D94BD3"/>
    <w:rsid w:val="00E178B0"/>
    <w:rsid w:val="00E330ED"/>
    <w:rsid w:val="00E50FD6"/>
    <w:rsid w:val="00F45B99"/>
    <w:rsid w:val="00F7530B"/>
    <w:rsid w:val="00F75BB0"/>
    <w:rsid w:val="00F77CE0"/>
    <w:rsid w:val="00FB0654"/>
    <w:rsid w:val="00FB5F35"/>
    <w:rsid w:val="00FB708E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B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4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436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436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1A5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5EAD4-734B-4AB5-A49C-200817108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69EBD-DB5D-42FF-BCC8-631EF4760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D5B2A-4203-41FE-858C-E4DEB8D5C8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398</Words>
  <Characters>2325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2716</CharactersWithSpaces>
  <SharedDoc>false</SharedDoc>
  <HyperlinkBase>https://www.cabinet.qld.gov.au/documents/2021/Sep/Justice Leg (covid) Amendment Bill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18</cp:revision>
  <dcterms:created xsi:type="dcterms:W3CDTF">2021-09-01T03:53:00Z</dcterms:created>
  <dcterms:modified xsi:type="dcterms:W3CDTF">2022-03-10T06:44:00Z</dcterms:modified>
  <cp:category>Courts,covid-19,Justice,Legislation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